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STANDARDS COMMITTEE PROCEDURE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RULES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SOUTH RIBBLE BOROUGH COUNCIL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INVESTIGATION AND HEARING PROCEDURE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ARRANGEMENTS FOR DEALING WITH COMPLAINTS ABOUT THE CODE OF CONDUCT</w:t>
      </w:r>
      <w:r w:rsidR="0052167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FOR MEMBERS</w:t>
      </w:r>
    </w:p>
    <w:p w:rsidR="0052167A" w:rsidRDefault="0052167A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Introduction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This procedure applies when a complaint is received that a Member, Co-opted Member or Parish</w:t>
      </w:r>
      <w:r w:rsidR="00521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Member has or may have failed to comply with the Code of Conduct for Members.</w:t>
      </w:r>
    </w:p>
    <w:p w:rsidR="001B4406" w:rsidRPr="0052167A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The person making the complaint </w:t>
      </w:r>
      <w:r w:rsidRPr="0052167A">
        <w:rPr>
          <w:rFonts w:ascii="Arial" w:hAnsi="Arial" w:cs="Arial"/>
          <w:color w:val="000000"/>
        </w:rPr>
        <w:t xml:space="preserve">will </w:t>
      </w:r>
      <w:r w:rsidRPr="0052167A">
        <w:rPr>
          <w:rFonts w:ascii="Arial" w:eastAsia="ArialMT" w:hAnsi="Arial" w:cs="Arial"/>
          <w:color w:val="000000"/>
        </w:rPr>
        <w:t>be referred to as “the Complainant” and t</w:t>
      </w:r>
      <w:r w:rsidRPr="0052167A">
        <w:rPr>
          <w:rFonts w:ascii="Arial" w:hAnsi="Arial" w:cs="Arial"/>
          <w:color w:val="000000"/>
        </w:rPr>
        <w:t>he person against</w:t>
      </w:r>
      <w:r w:rsidR="0052167A">
        <w:rPr>
          <w:rFonts w:ascii="Arial" w:hAnsi="Arial" w:cs="Arial"/>
          <w:color w:val="000000"/>
        </w:rPr>
        <w:t xml:space="preserve"> </w:t>
      </w:r>
      <w:r w:rsidRPr="0052167A">
        <w:rPr>
          <w:rFonts w:ascii="Arial" w:hAnsi="Arial" w:cs="Arial"/>
          <w:color w:val="000000"/>
        </w:rPr>
        <w:t>whom the complaint i</w:t>
      </w:r>
      <w:r w:rsidRPr="0052167A">
        <w:rPr>
          <w:rFonts w:ascii="Arial" w:eastAsia="ArialMT" w:hAnsi="Arial" w:cs="Arial"/>
          <w:color w:val="000000"/>
        </w:rPr>
        <w:t>s made will be referred to as the “Subject Member.”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No Member or Officer will participate in any stage of the arrangements if he or she has, or may</w:t>
      </w:r>
      <w:r w:rsidR="00521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have, any personal conflict of interest in the matter.</w:t>
      </w:r>
    </w:p>
    <w:p w:rsidR="0052167A" w:rsidRDefault="0052167A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Making a complaint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MT" w:eastAsia="ArialMT" w:hAnsi="Arial" w:cs="ArialMT"/>
          <w:color w:val="000000"/>
        </w:rPr>
      </w:pPr>
      <w:r>
        <w:rPr>
          <w:rFonts w:ascii="Arial" w:hAnsi="Arial" w:cs="Arial"/>
          <w:color w:val="000000"/>
        </w:rPr>
        <w:t xml:space="preserve">A complaint must be made in writing by post or email to: </w:t>
      </w:r>
      <w:r>
        <w:rPr>
          <w:rFonts w:ascii="ArialMT" w:eastAsia="ArialMT" w:hAnsi="Arial" w:cs="ArialMT" w:hint="eastAsia"/>
          <w:color w:val="000000"/>
        </w:rPr>
        <w:t>–</w:t>
      </w:r>
    </w:p>
    <w:p w:rsidR="001B4406" w:rsidRDefault="0052167A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 Moister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Monitoring Officer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South Ribble Borough Council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Civic Centre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Leyland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PR25 1DH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</w:p>
    <w:p w:rsidR="001B4406" w:rsidRDefault="0052167A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Chris.moister</w:t>
      </w:r>
      <w:r w:rsidR="001B4406">
        <w:rPr>
          <w:rFonts w:ascii="Arial" w:hAnsi="Arial" w:cs="Arial"/>
          <w:color w:val="000000"/>
        </w:rPr>
        <w:t>@southribble.gov.uk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A6A6A6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The Monitoring Officer will acknowledge receipt of the complaint within 5 working days of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receiving it.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Details of the complaint will initially be given (either verbally or in writing) to the Subject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 (and in the case of a complaint about a Parish Councillor to the Clerk of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Parish Council as well).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 Subject Member may within 7 working days of the date of the letter of notification either</w:t>
      </w:r>
      <w:r w:rsidR="00521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reply verbally to the Monitoring Officer or make written representations which he must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into account when deciding how the complaint will be dealt with. Representations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received after this time will not be taken into account unless the Monitoring Officer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considers it appropriate to do so.</w:t>
      </w:r>
    </w:p>
    <w:p w:rsidR="0052167A" w:rsidRDefault="0052167A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Initial Assessment</w:t>
      </w:r>
    </w:p>
    <w:p w:rsidR="001B4406" w:rsidRPr="0052167A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Monitoring Officer will carry out the initial assessment of any complaint. This will normally be in</w:t>
      </w:r>
      <w:r w:rsidR="00521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conjunction with one of our Independent Persons. The Assessment will have regard to our</w:t>
      </w:r>
      <w:r w:rsidR="00521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Assessment Criteria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please see the Appendix A to this policy.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the Monitoring Officer considers it to be appropriate he or she may refer the initial complaint</w:t>
      </w:r>
      <w:r w:rsidR="00725A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the Hearing Panel (please see paragraph 9) for determination. Please see Appendix C to this</w:t>
      </w:r>
      <w:r w:rsidR="00725A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 for details of the procedure to be followed.</w:t>
      </w:r>
    </w:p>
    <w:p w:rsidR="00725A3D" w:rsidRDefault="00725A3D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Maintenance of Confidentiality by Members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Any Member involved in a complaint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whether as Complainant, Subject Member or Witness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strongly recommended not to speak to the Press about the complaint (or to discuss it on social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media) whilst that complaint is still being dealt with by the Monitoring Officer and/or Standards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Committee</w:t>
      </w:r>
    </w:p>
    <w:p w:rsidR="00227B6F" w:rsidRDefault="00227B6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7B6F" w:rsidRDefault="00227B6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 Informal Resolution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appropriate cases, the Monitoring Officer may seek to resolve the complaint informally, without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need for an investigation. Such informal resolution may involve the Subject Member accepting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his/her conduct was unacceptable and offering an apology, or taking other steps. Please see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Assessment Criteria for more information about informal resolution.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Where the Subject Member makes a reasonable offer of informal resolution the Monitoring Officer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will take account of this in deciding whether the complaint merits formal investigation.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 the complaint identifies criminal conduct or breach of other regulations by any person, the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Monitoring Officer is authorised to report this to the Police or other prosecuting or regulatory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authorities.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Monitoring Officer will endeavour to seek resolution of complaints without formal investigation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wherever practicable.</w:t>
      </w:r>
    </w:p>
    <w:p w:rsidR="00227B6F" w:rsidRDefault="00227B6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Investigation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Monitoring Officer decides that a complaint merits formal investigation then he may appoint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 Investigating Officer.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 the end of their investigation, the Investigating Officer will produce a draft report and will send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copies of that draft report to the Complainant and to the Subject Member, for comments. The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Investigating Officer will take such comments into account, before issuing their final report to the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Monitoring Officer.</w:t>
      </w:r>
    </w:p>
    <w:p w:rsidR="00227B6F" w:rsidRDefault="00227B6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Investigating Officer finding of insufficient evidence of failure to comply with the Code</w:t>
      </w:r>
      <w:r w:rsidR="00227B6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 Conduct</w:t>
      </w:r>
    </w:p>
    <w:p w:rsidR="001B4406" w:rsidRPr="00227B6F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Monitoring Officer will review the </w:t>
      </w:r>
      <w:r w:rsidRPr="00227B6F">
        <w:rPr>
          <w:rFonts w:ascii="Arial" w:hAnsi="Arial" w:cs="Arial"/>
          <w:color w:val="000000"/>
        </w:rPr>
        <w:t>Investigating O</w:t>
      </w:r>
      <w:r w:rsidRPr="00227B6F">
        <w:rPr>
          <w:rFonts w:ascii="Arial" w:eastAsia="ArialMT" w:hAnsi="Arial" w:cs="Arial"/>
          <w:color w:val="000000"/>
        </w:rPr>
        <w:t>fficer’s repo</w:t>
      </w:r>
      <w:r w:rsidRPr="00227B6F"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</w:rPr>
        <w:t xml:space="preserve"> and, if satisfied with the report,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will make a Confirmation Decision to confirm the finding of no failure to comply with the Code of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Conduct and will close the matter.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Monitoring Officer will write to the Complainant and the Subject Member (and to the Clerk of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Parish Council, where the complaint relates to a Parish Councillor), with a copy of the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Confirmation Decision and the </w:t>
      </w:r>
      <w:r w:rsidRPr="00227B6F">
        <w:rPr>
          <w:rFonts w:ascii="Arial" w:hAnsi="Arial" w:cs="Arial"/>
          <w:color w:val="000000"/>
        </w:rPr>
        <w:t>Investigating Office</w:t>
      </w:r>
      <w:r w:rsidRPr="00227B6F">
        <w:rPr>
          <w:rFonts w:ascii="Arial" w:eastAsia="ArialMT" w:hAnsi="Arial" w:cs="Arial"/>
          <w:color w:val="000000"/>
        </w:rPr>
        <w:t>r’s final report. A copy will also be provi</w:t>
      </w:r>
      <w:r w:rsidRPr="00227B6F">
        <w:rPr>
          <w:rFonts w:ascii="Arial" w:hAnsi="Arial" w:cs="Arial"/>
          <w:color w:val="000000"/>
        </w:rPr>
        <w:t>ded to</w:t>
      </w:r>
      <w:r w:rsidR="00227B6F">
        <w:rPr>
          <w:rFonts w:ascii="Arial" w:hAnsi="Arial" w:cs="Arial"/>
          <w:color w:val="000000"/>
        </w:rPr>
        <w:t xml:space="preserve"> </w:t>
      </w:r>
      <w:r w:rsidRPr="00227B6F">
        <w:rPr>
          <w:rFonts w:ascii="Arial" w:hAnsi="Arial" w:cs="Arial"/>
          <w:color w:val="000000"/>
        </w:rPr>
        <w:t>the Independent Person.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Monitoring Officer is not satisfied that the investigation has been conducted satisfactorily, he</w:t>
      </w:r>
      <w:r w:rsidR="00227B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may ask the Investigating Officer to reconsider their report and conclusion.</w:t>
      </w:r>
    </w:p>
    <w:p w:rsidR="001B4406" w:rsidRPr="00227B6F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Investigating Officer finding of sufficient evidence of failure to comply with the Code</w:t>
      </w:r>
      <w:r w:rsidR="000A14A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 Conduct</w:t>
      </w:r>
    </w:p>
    <w:p w:rsidR="001B4406" w:rsidRPr="000A14A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Monitoring Officer will </w:t>
      </w:r>
      <w:r w:rsidRPr="000A14A2">
        <w:rPr>
          <w:rFonts w:ascii="Arial" w:hAnsi="Arial" w:cs="Arial"/>
          <w:color w:val="000000"/>
        </w:rPr>
        <w:t>revie</w:t>
      </w:r>
      <w:r w:rsidRPr="000A14A2">
        <w:rPr>
          <w:rFonts w:ascii="Arial" w:eastAsia="ArialMT" w:hAnsi="Arial" w:cs="Arial"/>
          <w:color w:val="000000"/>
        </w:rPr>
        <w:t xml:space="preserve">w the Investigating Officer’s report and if satisfied </w:t>
      </w:r>
      <w:r w:rsidRPr="000A14A2">
        <w:rPr>
          <w:rFonts w:ascii="Arial" w:hAnsi="Arial" w:cs="Arial"/>
          <w:color w:val="000000"/>
        </w:rPr>
        <w:t>that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investigation has been conducted satisfactorily will then either send the matter to be considered by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Hearings Panel (see paragraph 9 below) or, after consulting with the Independent Person and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Complainant, seek Informal Resolution.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Where, in the opinion of the Monitoring Officer, Informal Resolution is not appropriate or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Complainant and/or Subject Member refuse to co-operate, then the Monitoring Officer will report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Investigating </w:t>
      </w:r>
      <w:r w:rsidRPr="000A14A2">
        <w:rPr>
          <w:rFonts w:ascii="Arial" w:hAnsi="Arial" w:cs="Arial"/>
          <w:color w:val="000000"/>
        </w:rPr>
        <w:t>O</w:t>
      </w:r>
      <w:r w:rsidRPr="000A14A2">
        <w:rPr>
          <w:rFonts w:ascii="Arial" w:eastAsia="ArialMT" w:hAnsi="Arial" w:cs="Arial"/>
          <w:color w:val="000000"/>
        </w:rPr>
        <w:t>fficer’s report to the Hearings Panel for their consi</w:t>
      </w:r>
      <w:r w:rsidRPr="000A14A2">
        <w:rPr>
          <w:rFonts w:ascii="Arial" w:hAnsi="Arial" w:cs="Arial"/>
          <w:color w:val="000000"/>
        </w:rPr>
        <w:t>deration and determination.</w:t>
      </w:r>
    </w:p>
    <w:p w:rsidR="000A14A2" w:rsidRPr="000A14A2" w:rsidRDefault="000A14A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Pr="000A14A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A14A2">
        <w:rPr>
          <w:rFonts w:ascii="Arial" w:hAnsi="Arial" w:cs="Arial"/>
          <w:b/>
          <w:bCs/>
          <w:color w:val="000000"/>
        </w:rPr>
        <w:t>9. Hearings Panel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Hearings Panel will consist of either the full Standards Committee or a sub-committee of that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committee. In addition the Standards Committee is able to appoint Parish Councillors as nonvoting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co-opted members of the Panel. Composition of any sub-committee will be considered on a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case by case basis -the Monitoring officer will have the authority to determine the membership of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sub-committee.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Independent Persons are invited to attend all meetings of the Hearings Panel and their views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must be sought and taken into consideration before the Hearings Panel takes any decision </w:t>
      </w:r>
      <w:r w:rsidRPr="000A14A2">
        <w:rPr>
          <w:rFonts w:ascii="Arial" w:hAnsi="Arial" w:cs="Arial"/>
          <w:color w:val="000000"/>
        </w:rPr>
        <w:t>on</w:t>
      </w:r>
      <w:r w:rsidR="000A14A2" w:rsidRPr="000A14A2">
        <w:rPr>
          <w:rFonts w:ascii="Arial" w:hAnsi="Arial" w:cs="Arial"/>
          <w:color w:val="000000"/>
        </w:rPr>
        <w:t xml:space="preserve"> </w:t>
      </w:r>
      <w:r w:rsidRPr="000A14A2">
        <w:rPr>
          <w:rFonts w:ascii="Arial" w:eastAsia="ArialMT" w:hAnsi="Arial" w:cs="Arial"/>
          <w:color w:val="000000"/>
        </w:rPr>
        <w:t>whether the Member’</w:t>
      </w:r>
      <w:r w:rsidRPr="000A14A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conduct constitutes a failure to comply with the Code of Conduct and as to</w:t>
      </w:r>
      <w:r w:rsidR="000A1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any action to be taken following a finding of failure to comply with the Code of Conduct.</w:t>
      </w:r>
    </w:p>
    <w:p w:rsidR="000A14A2" w:rsidRDefault="000A14A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14A2" w:rsidRDefault="000A14A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10. The Independent Person(s)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Independent Person must be a person who has applied for the post following advertisement of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vacancy for the post, and appointed by a positive vote from a majority of all the Members of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Council at a meeting of the Full Council.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 currently has two such Independent Persons. Subject members may take advice from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 Independent Person.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detailed rules relating to who can be an Independent Person are set out in the Localism Act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2011.</w:t>
      </w:r>
    </w:p>
    <w:p w:rsidR="00EA1405" w:rsidRDefault="00EA1405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Hearing Procedure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 has agreed a procedure for local hearings which is attached as Appendix B to these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arrangements.</w:t>
      </w:r>
    </w:p>
    <w:p w:rsidR="00EA1405" w:rsidRDefault="00EA1405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 Action the Hearings Panel may take where a Member has failed to comply with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Code of Conduct</w:t>
      </w:r>
    </w:p>
    <w:p w:rsidR="001B4406" w:rsidRPr="00EA1405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EA1405">
        <w:rPr>
          <w:rFonts w:ascii="Arial" w:hAnsi="Arial" w:cs="Arial"/>
          <w:color w:val="000000"/>
        </w:rPr>
        <w:t>Where a Hearings Panel find that a member has failed to comply with the Code of Conduct, the</w:t>
      </w:r>
      <w:r w:rsidR="00EA1405" w:rsidRPr="00EA1405">
        <w:rPr>
          <w:rFonts w:ascii="Arial" w:hAnsi="Arial" w:cs="Arial"/>
          <w:color w:val="000000"/>
        </w:rPr>
        <w:t xml:space="preserve"> </w:t>
      </w:r>
      <w:r w:rsidRPr="00EA1405">
        <w:rPr>
          <w:rFonts w:ascii="Arial" w:hAnsi="Arial" w:cs="Arial"/>
          <w:color w:val="000000"/>
        </w:rPr>
        <w:t xml:space="preserve">Hearings Panel may </w:t>
      </w:r>
      <w:r w:rsidRPr="00EA1405">
        <w:rPr>
          <w:rFonts w:ascii="Arial" w:eastAsia="ArialMT" w:hAnsi="Arial" w:cs="Arial"/>
          <w:color w:val="000000"/>
        </w:rPr>
        <w:t>–</w:t>
      </w:r>
    </w:p>
    <w:p w:rsidR="001B4406" w:rsidRPr="00EA1405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A1405">
        <w:rPr>
          <w:rFonts w:ascii="Arial" w:hAnsi="Arial" w:cs="Arial"/>
          <w:color w:val="000000"/>
        </w:rPr>
        <w:t>12.1 Publish its findings in respect of the Mem</w:t>
      </w:r>
      <w:r w:rsidRPr="00EA1405">
        <w:rPr>
          <w:rFonts w:ascii="Arial" w:eastAsia="ArialMT" w:hAnsi="Arial" w:cs="Arial"/>
          <w:color w:val="000000"/>
        </w:rPr>
        <w:t>ber’s conduc</w:t>
      </w:r>
      <w:r w:rsidRPr="00EA1405">
        <w:rPr>
          <w:rFonts w:ascii="Arial" w:hAnsi="Arial" w:cs="Arial"/>
          <w:color w:val="000000"/>
        </w:rPr>
        <w:t>t;</w:t>
      </w:r>
    </w:p>
    <w:p w:rsidR="001B4406" w:rsidRPr="00EA1405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A1405">
        <w:rPr>
          <w:rFonts w:ascii="Arial" w:hAnsi="Arial" w:cs="Arial"/>
          <w:color w:val="000000"/>
        </w:rPr>
        <w:t>12.2 Report its findings to Council (or to the Parish Council) for information;</w:t>
      </w:r>
    </w:p>
    <w:p w:rsidR="001B4406" w:rsidRPr="00EA1405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A1405">
        <w:rPr>
          <w:rFonts w:ascii="Arial" w:hAnsi="Arial" w:cs="Arial"/>
          <w:color w:val="000000"/>
        </w:rPr>
        <w:t>12.3 Censure;</w:t>
      </w:r>
    </w:p>
    <w:p w:rsidR="001B4406" w:rsidRPr="00EA1405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12.4 </w:t>
      </w:r>
      <w:r w:rsidRPr="00EA1405">
        <w:rPr>
          <w:rFonts w:ascii="Arial" w:hAnsi="Arial" w:cs="Arial"/>
          <w:color w:val="000000"/>
        </w:rPr>
        <w:t>Recommend to the M</w:t>
      </w:r>
      <w:r w:rsidRPr="00EA1405">
        <w:rPr>
          <w:rFonts w:ascii="Arial" w:eastAsia="ArialMT" w:hAnsi="Arial" w:cs="Arial"/>
          <w:color w:val="000000"/>
        </w:rPr>
        <w:t>ember’s Group Leader (or in the case of un</w:t>
      </w:r>
      <w:r w:rsidRPr="00EA1405">
        <w:rPr>
          <w:rFonts w:ascii="Arial" w:hAnsi="Arial" w:cs="Arial"/>
          <w:color w:val="000000"/>
        </w:rPr>
        <w:t>-grouped Members,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recommend to Council) that he/she be removed from any or all Committees or Sub-Committees of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12.5 Recommend to the Leader of the Council that the Member be removed from the Executive,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removed from their Portfolio responsibilities;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12.6 Instruct the Monitoring Officer to (or recommend that the Parish Council) arrange training for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Member;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12.7 Recommend to Council or Parish Council that the Member be removed from all outside body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appointments to which they have been appointed or nominated by the Council (or by the Parish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Council);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12.8 Withdraw (or recommend to the Parish Council that it withdraws) facilities provided to the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Member by the Council, such as a computer, website and/or email and Internet access; or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12.9 Exclude (or recommend that the Parish Council exclude) the Member from the </w:t>
      </w:r>
      <w:r w:rsidRPr="00EA1405">
        <w:rPr>
          <w:rFonts w:ascii="Arial" w:hAnsi="Arial" w:cs="Arial"/>
          <w:color w:val="000000"/>
        </w:rPr>
        <w:t>Coun</w:t>
      </w:r>
      <w:r w:rsidRPr="00EA1405">
        <w:rPr>
          <w:rFonts w:ascii="Arial" w:eastAsia="ArialMT" w:hAnsi="Arial" w:cs="Arial"/>
          <w:color w:val="000000"/>
        </w:rPr>
        <w:t>cil’s</w:t>
      </w:r>
      <w:r w:rsidR="00EA1405">
        <w:rPr>
          <w:rFonts w:ascii="Arial" w:eastAsia="ArialMT" w:hAnsi="Arial" w:cs="Arial"/>
          <w:color w:val="000000"/>
        </w:rPr>
        <w:t xml:space="preserve"> </w:t>
      </w:r>
      <w:r w:rsidRPr="00EA1405">
        <w:rPr>
          <w:rFonts w:ascii="Arial" w:hAnsi="Arial" w:cs="Arial"/>
          <w:color w:val="000000"/>
        </w:rPr>
        <w:t>offices or other premises, with the exception of meeting rooms as necessary for attend</w:t>
      </w:r>
      <w:r>
        <w:rPr>
          <w:rFonts w:ascii="Arial" w:hAnsi="Arial" w:cs="Arial"/>
          <w:color w:val="000000"/>
        </w:rPr>
        <w:t>ing Council,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Committee and Sub-Committee meetings.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12.10 Any sanction imposed by the Hearings Panel shall commence immediately unless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Hearings Panel directs that a sanction shall commence on another date within six months from the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imposition of the sanction.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12.11 In deciding to impose a sanction the Hearings Panel shall consider all relevant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circumstances and seek the views of the Independent Person.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12.12 The Chairman should normally announce the decision of the Hearings Panel at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hearing. Written confirmation of the findings of the Hearings Panel should be given as soon as is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reasonably practicable to the Subject Member, Independent Person, Standards Committee of any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authority concerned, any parish council concerned, and any person who made an allegation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gave rise to the investigation.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12.13 The Hearings Panel and/or Standards Committee may consider making any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recommendations to the authority concerned with a view to promote and maintain higher standards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conduct among its members.</w:t>
      </w:r>
    </w:p>
    <w:p w:rsidR="00EA1405" w:rsidRDefault="00EA1405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 Revision of these arrangements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color w:val="000000"/>
        </w:rPr>
        <w:t>he Monitoring Officer in consultation with the Chair of Standards Committee may amend these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arrangements at any time. For the sake of clarity the Chair of Standards Committee (or the Chair of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particular Hearings Panel) may vary from these arrangements where they </w:t>
      </w:r>
      <w:r>
        <w:rPr>
          <w:rFonts w:ascii="Arial" w:hAnsi="Arial" w:cs="Arial"/>
          <w:color w:val="000000"/>
        </w:rPr>
        <w:lastRenderedPageBreak/>
        <w:t>consider that it is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expedient to do so in order to secure the effective and fair consideration of any matter.</w:t>
      </w:r>
    </w:p>
    <w:p w:rsidR="00EA1405" w:rsidRDefault="00EA1405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 Appeals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to Judicial Review, or a decision of the Local Government Ombudsman, there is no right of</w:t>
      </w:r>
      <w:r w:rsidR="00EA14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appeal against a decision of the Monitoring Officer or of the Hearings Panel</w:t>
      </w:r>
      <w:r w:rsidR="00EA1405">
        <w:rPr>
          <w:rFonts w:ascii="Arial" w:hAnsi="Arial" w:cs="Arial"/>
          <w:color w:val="000000"/>
        </w:rPr>
        <w:t>.</w:t>
      </w:r>
    </w:p>
    <w:p w:rsidR="00EA1405" w:rsidRDefault="00EA1405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Pr="00EA1405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APPENDIX A</w:t>
      </w: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COMPLAINTS AGAINST MEMBERS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SOUTH RIBBLE BOROUGH COUNCIL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ASSESSMENT CRITERIA</w:t>
      </w: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Initial Tests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any assessment of a complaint begins, the Monitoring Officer must be satisfied that the</w:t>
      </w:r>
      <w:r w:rsidR="00A86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complaint meets the following tests: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It is a written complaint against one or more named Members of South Ribble Borough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or a Town or Parish Council within South Ribble Borough;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The named member was in office at the time of the alleged conduct and the Code of Conduct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 in force at the time;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The complaint, if proven, would be a breach of the Code.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complaint fails one or more of these tests it cannot be investigated as a breach of the Code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complainant will be informed that no further action will be taken in respect of the complaint.</w:t>
      </w: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If the above tests are met the Monitoring Officer (normally in consultation with one of our</w:t>
      </w:r>
      <w:r w:rsidR="00A8614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Independent Persons) will have regard to the following criteria: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Official capacity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was the member acting in an official capacity as an Elected Member of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Borough or a Town or Parish Council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Adequate information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there is sufficient information to decide whether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complaint should be referred for investigation or other action?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Vexatious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 complaint appears to be malicious, vexatious, politically motivated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tit-for-tat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Similar previous complaint(s)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a substantially similar allegation has previously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by the Complainant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Lapse of Time - whether the complaint is about something that happened so long ago that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those involved are unlikely to remember it clearly enough to provide credible evidence,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where the lapse of time means there would be little benefit in taking action now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Seriousness - Whether the allegation discloses a potential breach of the Code of Conduct,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the complaint is not serious enough to merit any action and:-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The resources needed to investigate and determine the complaint are wholly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disproportionate to the allegations or;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Whether, in all the circumstances, there is no overriding public benefit in carrying out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investigation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Inexperience- whether it is apparent that the Member is relatively inexperienced, or has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admitted making an error and the matter would not warrant a more serious sanction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Wider problem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 complaint suggests that there is a wider problem throughout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authority which ought to be addressed on a more corporate basis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Whether training or conciliation would be the appropriate response.</w:t>
      </w: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Hearings Panel</w:t>
      </w:r>
    </w:p>
    <w:p w:rsidR="00A86141" w:rsidRP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Monitoring Officer has the discretion to refer the initial assessment of a complaint to a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Hearings Panel for their consideration. This could happen for instance in cases of particular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complexity or sensitivity.</w:t>
      </w: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6141" w:rsidRDefault="00A86141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4. Confidentiality/Anonymity</w:t>
      </w:r>
    </w:p>
    <w:p w:rsidR="00E456EF" w:rsidRDefault="00E456E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Complainant has asked for their identity to be withheld, this request will be considered by the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Monitoring Officer at the Initial Assessment stage.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a matter of fairness and natural justice, the Member should usually be told who has complained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about them and receive details of the complaint.</w:t>
      </w:r>
    </w:p>
    <w:p w:rsidR="00E456EF" w:rsidRDefault="00E456E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Monitoring Officer decides to refuse a request by a Complainant for confidentiality, they will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offer the Complainant the option to withdraw the complaint, rather than proceed with his or her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identity being disclosed. The Monitoring Officer will balance whether the public interest in taking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action on a complaint will outweigh the </w:t>
      </w:r>
      <w:r w:rsidRPr="00E456EF">
        <w:rPr>
          <w:rFonts w:ascii="Arial" w:hAnsi="Arial" w:cs="Arial"/>
          <w:color w:val="000000"/>
        </w:rPr>
        <w:t>Complain</w:t>
      </w:r>
      <w:r w:rsidRPr="00E456EF">
        <w:rPr>
          <w:rFonts w:ascii="Arial" w:eastAsia="ArialMT" w:hAnsi="Arial" w:cs="Arial"/>
          <w:color w:val="000000"/>
        </w:rPr>
        <w:t>ant’s wish t</w:t>
      </w:r>
      <w:r w:rsidRPr="00E456E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have his or her identity withheld from</w:t>
      </w:r>
      <w:r w:rsidR="00E45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Member.</w:t>
      </w:r>
    </w:p>
    <w:p w:rsidR="00E456EF" w:rsidRDefault="00E456E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The Monitoring Officer (normally in consultation with one of our Independent Persons)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has the option to make the following decisions on any complaint:</w:t>
      </w:r>
    </w:p>
    <w:p w:rsidR="00E456EF" w:rsidRDefault="00E456EF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>that no further action be taken in respect of the matter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that the matter be referred to the Group Leader for Informal Action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this will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normally only be where the complaint relates to South Ribble Borough Councillors and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not generally be appropriate if the complaint is from a member of the public.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that the matter is referred for Informal Resolution or other action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this enables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less serious complaints to be resolved speedily and cost effectively. Informal action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include an apology, training and mediation. The matter may subsequently be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referred for formal investigation should it become apparent that the issues are more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serious than was originally anticipated.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that the matter is referred for formal Investigation by an Investigator- </w:t>
      </w:r>
      <w:r>
        <w:rPr>
          <w:rFonts w:ascii="Arial" w:hAnsi="Arial" w:cs="Arial"/>
          <w:color w:val="000000"/>
        </w:rPr>
        <w:t>this enables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most serious allegations to be thoroughly investigated.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refer to Hearings Panel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ordinarily a complaint will only be referred to a Hearing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Panel after a full investigation has been carried out; however, the Monitoring Officer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has a discretion to refer initial complaints to the Panel for determination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" w:cs="Arial-BoldMT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That the matter is referred to the Police or other relevant Regulatory Agency </w:t>
      </w:r>
      <w:r>
        <w:rPr>
          <w:rFonts w:ascii="Arial-BoldMT" w:eastAsia="Arial-BoldMT" w:hAnsi="Arial" w:cs="Arial-BoldMT" w:hint="eastAsia"/>
          <w:b/>
          <w:bCs/>
          <w:color w:val="000000"/>
        </w:rPr>
        <w:t>–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would be appropriate where it appears a criminal offence or breach of regulations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have taken place and in particular any failure to declare a Disclosable Pecuniary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Interest under s 30 -31 of the Localism Act 2011</w:t>
      </w:r>
      <w:r w:rsidR="00135B13">
        <w:rPr>
          <w:rFonts w:ascii="Arial" w:hAnsi="Arial" w:cs="Arial"/>
          <w:color w:val="000000"/>
        </w:rPr>
        <w:t>.</w:t>
      </w: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5B13" w:rsidRDefault="00135B13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APPENDIX B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COMPLAINTS AGAINST MEMBERS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SOUTH RIBBLE BOROUGH COUNCIL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HEARINGS PROCEDURE</w:t>
      </w:r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Stage 1: Setting the scene</w:t>
      </w:r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Any hearing will either be before the full Standards Committee or a duly appointed Hearing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Panel. </w:t>
      </w:r>
      <w:r w:rsidRPr="00BA58E2">
        <w:rPr>
          <w:rFonts w:ascii="Arial" w:eastAsia="ArialMT" w:hAnsi="Arial" w:cs="Arial"/>
          <w:color w:val="000000"/>
        </w:rPr>
        <w:t>Any reference to “Panel” in this procedure also</w:t>
      </w:r>
      <w:r>
        <w:rPr>
          <w:rFonts w:ascii="ArialMT" w:eastAsia="ArialMT" w:hAnsi="Arial" w:cs="ArialMT"/>
          <w:color w:val="000000"/>
        </w:rPr>
        <w:t xml:space="preserve"> re</w:t>
      </w:r>
      <w:r>
        <w:rPr>
          <w:rFonts w:ascii="Arial" w:hAnsi="Arial" w:cs="Arial"/>
          <w:color w:val="000000"/>
        </w:rPr>
        <w:t>fers to the Committee if the full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Committee is sitting.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After everyone involved has been formally introduced, the Chair will explain how the Panel is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going to run the hearing.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 Chair will introduce the Independent Person(s) and explain that whilst they do not have a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decision making role they are present to provide an independent view which the Panel are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obliged to consider.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The Subject Member may be represented or accompanied at the meeting by a solicitor or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barrister, or with the permission of the Panel, another person.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The Chair will ensure that the Subject Member (the member the subject of the complaint) is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ready and happy to proceed. If the Subject Member indicates that they are not ready, they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give reasons why. The Committee will decide whether the hearing should proceed and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act reasonably in coming to that decision.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If the Subject Member is not present at the start of the hearing: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The Chairman should ask the Monitoring Officer whether the Subject Member has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indicated his/her intention not to attend the Hearing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The Panel should then consider any reasons which the Subject Member has provided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not attending the Hearing and should decide whether it is satisfied that there is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sufficient reason for such failure to attend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If the Panel is satisfied with such reasons, it should adjourn the Hearing to another date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If the Panel is not satisfied with such reasons, or if the Subject Member has not given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such reasons, the Hearings Panel should decide whether to consider the matter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make a determination in the absence of the Subject Member, or to adjourn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 to another date.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With the permission of the Panel witnesses may give evidence either on behalf of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Investigator or on behalf of the Subject Member.</w:t>
      </w:r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Stage 2: Making findings of fact</w:t>
      </w:r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4406" w:rsidRPr="00BA58E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BA58E2">
        <w:rPr>
          <w:rFonts w:ascii="Arial" w:hAnsi="Arial" w:cs="Arial"/>
          <w:color w:val="000000"/>
        </w:rPr>
        <w:t>The Panel will ask the Subject Member whether there are any significant disagreements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58E2">
        <w:rPr>
          <w:rFonts w:ascii="Arial" w:hAnsi="Arial" w:cs="Arial"/>
          <w:color w:val="000000"/>
        </w:rPr>
        <w:t>about the facts contained in th</w:t>
      </w:r>
      <w:r w:rsidRPr="00BA58E2">
        <w:rPr>
          <w:rFonts w:ascii="Arial" w:eastAsia="ArialMT" w:hAnsi="Arial" w:cs="Arial"/>
          <w:color w:val="000000"/>
        </w:rPr>
        <w:t>e Investigating Officer’s rep</w:t>
      </w:r>
      <w:r w:rsidRPr="00BA58E2"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>. If there is no disagreement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about the facts, the Panel can move on to Stage 3.</w:t>
      </w:r>
    </w:p>
    <w:p w:rsidR="001B4406" w:rsidRPr="00BA58E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Pr="00BA58E2">
        <w:rPr>
          <w:rFonts w:ascii="Arial" w:hAnsi="Arial" w:cs="Arial"/>
          <w:color w:val="000000"/>
        </w:rPr>
        <w:t>If the Subject Member disagrees with any relevant fact in the Investigating Of</w:t>
      </w:r>
      <w:r w:rsidRPr="00BA58E2">
        <w:rPr>
          <w:rFonts w:ascii="Arial" w:eastAsia="ArialMT" w:hAnsi="Arial" w:cs="Arial"/>
          <w:color w:val="000000"/>
        </w:rPr>
        <w:t>ficer’s report,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58E2">
        <w:rPr>
          <w:rFonts w:ascii="Arial" w:hAnsi="Arial" w:cs="Arial"/>
          <w:color w:val="000000"/>
        </w:rPr>
        <w:t>without</w:t>
      </w:r>
      <w:r>
        <w:rPr>
          <w:rFonts w:ascii="Arial" w:hAnsi="Arial" w:cs="Arial"/>
          <w:color w:val="000000"/>
        </w:rPr>
        <w:t xml:space="preserve"> having given prior notice of the disagreement, they must give good reasons for not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mentioning it before the hearing. A Subject Member would be expected to give at least 7</w:t>
      </w:r>
    </w:p>
    <w:p w:rsidR="001B4406" w:rsidRPr="00BA58E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58E2">
        <w:rPr>
          <w:rFonts w:ascii="Arial" w:hAnsi="Arial" w:cs="Arial"/>
          <w:color w:val="000000"/>
        </w:rPr>
        <w:t>da</w:t>
      </w:r>
      <w:r w:rsidRPr="00BA58E2">
        <w:rPr>
          <w:rFonts w:ascii="Arial" w:eastAsia="ArialMT" w:hAnsi="Arial" w:cs="Arial"/>
          <w:color w:val="000000"/>
        </w:rPr>
        <w:t xml:space="preserve">ys’ notice to the Monitoring Officer of any </w:t>
      </w:r>
      <w:r w:rsidRPr="00BA58E2">
        <w:rPr>
          <w:rFonts w:ascii="Arial" w:hAnsi="Arial" w:cs="Arial"/>
          <w:color w:val="000000"/>
        </w:rPr>
        <w:t>such disagreement with any relevant fact.</w:t>
      </w:r>
    </w:p>
    <w:p w:rsidR="001B4406" w:rsidRPr="00BA58E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After considering the Subject </w:t>
      </w:r>
      <w:r w:rsidRPr="00BA58E2">
        <w:rPr>
          <w:rFonts w:ascii="Arial" w:hAnsi="Arial" w:cs="Arial"/>
          <w:color w:val="000000"/>
        </w:rPr>
        <w:t>Memb</w:t>
      </w:r>
      <w:r w:rsidRPr="00BA58E2">
        <w:rPr>
          <w:rFonts w:ascii="Arial" w:eastAsia="ArialMT" w:hAnsi="Arial" w:cs="Arial"/>
          <w:color w:val="000000"/>
        </w:rPr>
        <w:t>er’s explanation for not rais</w:t>
      </w:r>
      <w:r w:rsidRPr="00BA58E2">
        <w:rPr>
          <w:rFonts w:ascii="Arial" w:hAnsi="Arial" w:cs="Arial"/>
          <w:color w:val="000000"/>
        </w:rPr>
        <w:t>ing the issue at an earlier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stage, the Panel may then: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MT" w:eastAsia="ArialMT" w:hAnsi="Arial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 w:rsidRPr="00BA58E2">
        <w:rPr>
          <w:rFonts w:ascii="Arial" w:hAnsi="Arial" w:cs="Arial"/>
          <w:color w:val="000000"/>
        </w:rPr>
        <w:t>continue with the hearing, relying on the inform</w:t>
      </w:r>
      <w:r w:rsidRPr="00BA58E2">
        <w:rPr>
          <w:rFonts w:ascii="Arial" w:eastAsia="ArialMT" w:hAnsi="Arial" w:cs="Arial"/>
          <w:color w:val="000000"/>
        </w:rPr>
        <w:t>ation in the Investigating Officer’s report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allow the Subject Member to make representations about the issue, and invite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Investigating Officer to respond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postpone the hearing to allow the Investigating Officer to consider and investigate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issue.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Where prior notice of any disagreement has been given the Investigating Officer, will be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invited to make representations on the challenged facts.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The Subject Member will then have the opportunity to make appropriate representations.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13. At any time, the Panel may question the Investigating Officer or the Subject Member.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The Panel will usually move to another room to consider the representations and evidence in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private. Also present will be the Monitoring Officer, the Independent Person and a</w:t>
      </w:r>
    </w:p>
    <w:p w:rsidR="001B4406" w:rsidRPr="00BA58E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Democratic Services Officer. On their return, the Chair will announce </w:t>
      </w:r>
      <w:r w:rsidRPr="00BA58E2">
        <w:rPr>
          <w:rFonts w:ascii="Arial" w:hAnsi="Arial" w:cs="Arial"/>
          <w:color w:val="000000"/>
        </w:rPr>
        <w:t>t</w:t>
      </w:r>
      <w:r w:rsidRPr="00BA58E2">
        <w:rPr>
          <w:rFonts w:ascii="Arial" w:eastAsia="ArialMT" w:hAnsi="Arial" w:cs="Arial"/>
          <w:color w:val="000000"/>
        </w:rPr>
        <w:t>he Panel’s findings of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fact.</w:t>
      </w:r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Stage 3: Did the Subject member fail to follow the Code of Conduct?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Having made the finding on the facts the Panel will then consider whether the Subject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 has failed to follow the Code.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The Subject Member should be invited to give relevant reasons why the Panel should decide</w:t>
      </w:r>
      <w:r w:rsidR="000155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they have not failed to follow the Code.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The Panel should then consider any verbal or written representations from the Investigating</w:t>
      </w:r>
      <w:r w:rsidR="000155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Officer.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The Panel may, at any time, question anyone involved on any point they raise on their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representations.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The Subject Member should be invited to make any final relevant points.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The Panel will then move to another room to consider the representations. The Monitoring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Officer, the Independent Person and a Democratic Services Officer will accompany them.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views of the Independent Person should be sought and considered by the Panel. Where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Panel depart from the view of the Independent Person they should record the reasons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why.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On </w:t>
      </w:r>
      <w:r w:rsidRPr="00BA58E2">
        <w:rPr>
          <w:rFonts w:ascii="Arial" w:hAnsi="Arial" w:cs="Arial"/>
          <w:color w:val="000000"/>
        </w:rPr>
        <w:t>their return, the Chai</w:t>
      </w:r>
      <w:r w:rsidRPr="00BA58E2">
        <w:rPr>
          <w:rFonts w:ascii="Arial" w:eastAsia="ArialMT" w:hAnsi="Arial" w:cs="Arial"/>
          <w:color w:val="000000"/>
        </w:rPr>
        <w:t>r will announce the Panel’s decision as to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 Subject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 has failed to follow the Code.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If the Panel decides that the Subject Member has not failed to follow the Code, the Panel will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 the Subject Member accordingly.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If the Panel decides that the Subject Member has failed to follow the Code, it will consider</w:t>
      </w:r>
      <w:r w:rsidR="00BA5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any verbal or written representations from the Investigating Officer and the Subject Member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to: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whether the Panel should apply a sanction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what form any sanction should take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The Panel may question the Investigating Officer and Subject Member, and take legal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advice, to make sure they have the information they need in order to make an informed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decision.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The Panel will then retire with the Monitoring Officer, the Independent Person and a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Democratic Services Officer. They with consider whether to impose a sanction on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 and, if so, what sanction it should be. The Independent Person will not be able to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participate in making the decision (i.e. vote) but their views must be considered by the Panel.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the Panel depart from the </w:t>
      </w:r>
      <w:r w:rsidRPr="00BA58E2">
        <w:rPr>
          <w:rFonts w:ascii="Arial" w:hAnsi="Arial" w:cs="Arial"/>
          <w:color w:val="000000"/>
        </w:rPr>
        <w:t>Ind</w:t>
      </w:r>
      <w:r w:rsidRPr="00BA58E2">
        <w:rPr>
          <w:rFonts w:ascii="Arial" w:eastAsia="ArialMT" w:hAnsi="Arial" w:cs="Arial"/>
          <w:color w:val="000000"/>
        </w:rPr>
        <w:t>ependent Person’s views they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must record reasons why.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The Panel will be limited to the sanctions listed in the procedure for the administration of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complaints. The Panel must ensure that any sanction is reasonable and proportionate to the</w:t>
      </w:r>
    </w:p>
    <w:p w:rsidR="001B4406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breach.</w:t>
      </w:r>
    </w:p>
    <w:p w:rsidR="00BA58E2" w:rsidRDefault="001B4406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 xml:space="preserve">27. </w:t>
      </w:r>
      <w:r w:rsidRPr="00BA58E2">
        <w:rPr>
          <w:rFonts w:ascii="Arial" w:hAnsi="Arial" w:cs="Arial"/>
          <w:color w:val="000000"/>
        </w:rPr>
        <w:t>On their return, the Chair will announce the Pane</w:t>
      </w:r>
      <w:r w:rsidRPr="00BA58E2">
        <w:rPr>
          <w:rFonts w:ascii="Arial" w:eastAsia="ArialMT" w:hAnsi="Arial" w:cs="Arial"/>
          <w:color w:val="000000"/>
        </w:rPr>
        <w:t>l’s decision.</w:t>
      </w:r>
      <w:bookmarkStart w:id="0" w:name="_GoBack"/>
      <w:bookmarkEnd w:id="0"/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924FE" w:rsidRDefault="009924FE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924FE" w:rsidRDefault="009924FE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A58E2" w:rsidRDefault="00BA58E2" w:rsidP="001B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sectPr w:rsidR="00BA5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6"/>
    <w:rsid w:val="000155A2"/>
    <w:rsid w:val="000A14A2"/>
    <w:rsid w:val="00135B13"/>
    <w:rsid w:val="001B4406"/>
    <w:rsid w:val="00227B6F"/>
    <w:rsid w:val="00443750"/>
    <w:rsid w:val="0052167A"/>
    <w:rsid w:val="00637D44"/>
    <w:rsid w:val="0070037A"/>
    <w:rsid w:val="00725A3D"/>
    <w:rsid w:val="009924FE"/>
    <w:rsid w:val="00A86141"/>
    <w:rsid w:val="00BA58E2"/>
    <w:rsid w:val="00E456EF"/>
    <w:rsid w:val="00E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FCA9"/>
  <w15:chartTrackingRefBased/>
  <w15:docId w15:val="{3E997BF4-EC0C-4C48-8ED0-20DA6B9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Gornall</dc:creator>
  <cp:keywords/>
  <dc:description/>
  <cp:lastModifiedBy>Clare Gornall</cp:lastModifiedBy>
  <cp:revision>14</cp:revision>
  <dcterms:created xsi:type="dcterms:W3CDTF">2021-06-30T09:59:00Z</dcterms:created>
  <dcterms:modified xsi:type="dcterms:W3CDTF">2021-08-26T09:08:00Z</dcterms:modified>
</cp:coreProperties>
</file>